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85" w:rsidRPr="00782FB6" w:rsidRDefault="008B4C85" w:rsidP="008B4C85">
      <w:pPr>
        <w:rPr>
          <w:b/>
        </w:rPr>
      </w:pPr>
      <w:bookmarkStart w:id="0" w:name="_GoBack"/>
      <w:bookmarkEnd w:id="0"/>
      <w:r>
        <w:rPr>
          <w:b/>
        </w:rPr>
        <w:t xml:space="preserve">Appendix B – Commitments made and forecast year end position 2017/18 </w:t>
      </w:r>
    </w:p>
    <w:p w:rsidR="008B4C85" w:rsidRDefault="008B4C85" w:rsidP="008B4C85">
      <w:pPr>
        <w:spacing w:after="0"/>
        <w:ind w:left="360" w:hanging="360"/>
        <w:contextualSpacing/>
      </w:pPr>
    </w:p>
    <w:tbl>
      <w:tblPr>
        <w:tblW w:w="14490" w:type="dxa"/>
        <w:tblInd w:w="103" w:type="dxa"/>
        <w:tblLook w:val="04A0" w:firstRow="1" w:lastRow="0" w:firstColumn="1" w:lastColumn="0" w:noHBand="0" w:noVBand="1"/>
      </w:tblPr>
      <w:tblGrid>
        <w:gridCol w:w="3549"/>
        <w:gridCol w:w="2552"/>
        <w:gridCol w:w="1701"/>
        <w:gridCol w:w="6688"/>
      </w:tblGrid>
      <w:tr w:rsidR="004B0F1C" w:rsidRPr="008B4C85" w:rsidTr="004B0F1C">
        <w:trPr>
          <w:trHeight w:val="765"/>
        </w:trPr>
        <w:tc>
          <w:tcPr>
            <w:tcW w:w="35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Service areas</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Provider</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Forecast to YE</w:t>
            </w:r>
          </w:p>
        </w:tc>
        <w:tc>
          <w:tcPr>
            <w:tcW w:w="6688" w:type="dxa"/>
            <w:tcBorders>
              <w:top w:val="single" w:sz="4" w:space="0" w:color="auto"/>
              <w:left w:val="nil"/>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Purpose</w:t>
            </w:r>
          </w:p>
        </w:tc>
      </w:tr>
      <w:tr w:rsidR="004B0F1C" w:rsidRPr="008B4C85" w:rsidTr="004B0F1C">
        <w:trPr>
          <w:trHeight w:val="360"/>
        </w:trPr>
        <w:tc>
          <w:tcPr>
            <w:tcW w:w="3549" w:type="dxa"/>
            <w:tcBorders>
              <w:top w:val="nil"/>
              <w:left w:val="single" w:sz="4" w:space="0" w:color="auto"/>
              <w:bottom w:val="single" w:sz="4" w:space="0" w:color="auto"/>
              <w:right w:val="single" w:sz="4" w:space="0" w:color="auto"/>
            </w:tcBorders>
            <w:shd w:val="clear" w:color="000000" w:fill="FABF8F"/>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Supported accommodation</w:t>
            </w:r>
          </w:p>
        </w:tc>
        <w:tc>
          <w:tcPr>
            <w:tcW w:w="2552" w:type="dxa"/>
            <w:tcBorders>
              <w:top w:val="nil"/>
              <w:left w:val="nil"/>
              <w:bottom w:val="single" w:sz="4" w:space="0" w:color="auto"/>
              <w:right w:val="single" w:sz="4" w:space="0" w:color="auto"/>
            </w:tcBorders>
            <w:shd w:val="clear" w:color="000000" w:fill="FABF8F"/>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FABF8F"/>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£430,398</w:t>
            </w:r>
          </w:p>
        </w:tc>
        <w:tc>
          <w:tcPr>
            <w:tcW w:w="6688" w:type="dxa"/>
            <w:tcBorders>
              <w:top w:val="nil"/>
              <w:left w:val="nil"/>
              <w:bottom w:val="single" w:sz="4" w:space="0" w:color="auto"/>
              <w:right w:val="single" w:sz="4" w:space="0" w:color="auto"/>
            </w:tcBorders>
            <w:shd w:val="clear" w:color="000000" w:fill="FABF8F"/>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96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Contribution Oxfordshire AHP Pooled Budget</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Oxfordshire AHP / Oxfordshire CC commissioner</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£161,700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Provision of supported housing</w:t>
            </w:r>
          </w:p>
        </w:tc>
      </w:tr>
      <w:tr w:rsidR="004B0F1C" w:rsidRPr="008B4C85" w:rsidTr="004B0F1C">
        <w:trPr>
          <w:trHeight w:val="115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Housing First - Julian Housing</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Homeless Oxfordshire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£47,850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1 FTE Support Worker &amp; 0.5 FTE Peer Support Worker for this specialist housing project. Offers an alternative supported housing model aimed at getting entrenched rough sleepers permanently off the streets. </w:t>
            </w:r>
          </w:p>
        </w:tc>
      </w:tr>
      <w:tr w:rsidR="004B0F1C" w:rsidRPr="008B4C85" w:rsidTr="004B0F1C">
        <w:trPr>
          <w:trHeight w:val="65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NSNO Sit-up Service - O'Hanlon House</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Homeless Oxfordshire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£54,903</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for 10 additional spaces to help manage the high number of rough sleepers.</w:t>
            </w:r>
          </w:p>
        </w:tc>
      </w:tr>
      <w:tr w:rsidR="004B0F1C" w:rsidRPr="008B4C85" w:rsidTr="004B0F1C">
        <w:trPr>
          <w:trHeight w:val="756"/>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Acacia existing x 5</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Response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£15,950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4B0F1C">
            <w:pPr>
              <w:spacing w:after="0"/>
              <w:rPr>
                <w:rFonts w:cs="Arial"/>
                <w:color w:val="auto"/>
                <w:sz w:val="20"/>
                <w:szCs w:val="20"/>
              </w:rPr>
            </w:pPr>
            <w:r>
              <w:rPr>
                <w:rFonts w:cs="Arial"/>
                <w:color w:val="auto"/>
                <w:sz w:val="20"/>
                <w:szCs w:val="20"/>
              </w:rPr>
              <w:t xml:space="preserve">Funding for 5 </w:t>
            </w:r>
            <w:r w:rsidRPr="008B4C85">
              <w:rPr>
                <w:rFonts w:cs="Arial"/>
                <w:color w:val="auto"/>
                <w:sz w:val="20"/>
                <w:szCs w:val="20"/>
              </w:rPr>
              <w:t xml:space="preserve">units of specialist supported housing for people with complex needs. </w:t>
            </w:r>
          </w:p>
        </w:tc>
      </w:tr>
      <w:tr w:rsidR="004B0F1C" w:rsidRPr="008B4C85" w:rsidTr="004B0F1C">
        <w:trPr>
          <w:trHeight w:val="183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Acacia  additional units - pending</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Response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5 </w:t>
            </w:r>
            <w:proofErr w:type="gramStart"/>
            <w:r w:rsidRPr="008B4C85">
              <w:rPr>
                <w:rFonts w:cs="Arial"/>
                <w:color w:val="auto"/>
                <w:sz w:val="20"/>
                <w:szCs w:val="20"/>
              </w:rPr>
              <w:t>specialist</w:t>
            </w:r>
            <w:proofErr w:type="gramEnd"/>
            <w:r w:rsidRPr="008B4C85">
              <w:rPr>
                <w:rFonts w:cs="Arial"/>
                <w:color w:val="auto"/>
                <w:sz w:val="20"/>
                <w:szCs w:val="20"/>
              </w:rPr>
              <w:t xml:space="preserve"> supported housing units for people with complex needs. The Acacia Project builds on the Housing First model and has developed as a result of recognition by housing and mental health service commissioners of an increasing number of people who “fall between the gaps” of mental health services and homelessness services, getting ineffective support from either or both due to their needs.</w:t>
            </w:r>
          </w:p>
        </w:tc>
      </w:tr>
      <w:tr w:rsidR="004B0F1C" w:rsidRPr="008B4C85" w:rsidTr="004B0F1C">
        <w:trPr>
          <w:trHeight w:val="1108"/>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Project 41</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Homeless Oxfordshire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£124,995</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4B0F1C" w:rsidRPr="008B4C85" w:rsidTr="004B0F1C">
        <w:trPr>
          <w:trHeight w:val="2171"/>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lastRenderedPageBreak/>
              <w:t>SIMON HOUSE - Transitional service 2018/19 20 to 25 units complex needs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A2Dominion</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FF0000"/>
                <w:sz w:val="20"/>
                <w:szCs w:val="20"/>
              </w:rPr>
            </w:pPr>
            <w:r w:rsidRPr="008B4C85">
              <w:rPr>
                <w:rFonts w:cs="Arial"/>
                <w:color w:val="FF0000"/>
                <w:sz w:val="20"/>
                <w:szCs w:val="20"/>
              </w:rPr>
              <w:t> </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for a transitional service of up to 25 units of supported accommodation at Simon House for people with complex needs and a connection to Oxford City. This allocation will retain the facility of Simon House which would otherwise have closed as a result of County Council funding cuts. This provision will maintain capacity in the City allowing time for the development of a new facility for rough sleepers and single homeless people in the Cowley area, to open [subject to planning permission] 2019/20.</w:t>
            </w:r>
          </w:p>
        </w:tc>
      </w:tr>
      <w:tr w:rsidR="004B0F1C" w:rsidRPr="008B4C85" w:rsidTr="004B0F1C">
        <w:trPr>
          <w:trHeight w:val="1118"/>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Severe Weather Beds - various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Various including Homeless Oxfordshire, St Mungo's, The Porch, A2Dominion</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£25,000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to provide emergency beds in periods of severe weather for all rough sleepers who need them. The increase in funding reflects the increased number of rough sleepers on the City's streets.</w:t>
            </w:r>
          </w:p>
        </w:tc>
      </w:tr>
      <w:tr w:rsidR="004B0F1C" w:rsidRPr="008B4C85" w:rsidTr="004B0F1C">
        <w:trPr>
          <w:trHeight w:val="1227"/>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PRS move on from hostels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Administered on behalf of OCC by Homeless Oxfordshire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to enable access to private rented accommodation for individuals moving on from the adult homeless pathway. Funds will assist with deposit and accessible for individuals with a connection to the City.</w:t>
            </w:r>
            <w:r>
              <w:rPr>
                <w:rFonts w:cs="Arial"/>
                <w:color w:val="auto"/>
                <w:sz w:val="20"/>
                <w:szCs w:val="20"/>
              </w:rPr>
              <w:t xml:space="preserve"> </w:t>
            </w:r>
            <w:r w:rsidRPr="008B4C85">
              <w:rPr>
                <w:rFonts w:cs="Arial"/>
                <w:color w:val="auto"/>
                <w:sz w:val="20"/>
                <w:szCs w:val="20"/>
              </w:rPr>
              <w:t>£15k from 2016/17 still unused</w:t>
            </w:r>
            <w:r>
              <w:rPr>
                <w:rFonts w:cs="Arial"/>
                <w:color w:val="auto"/>
                <w:sz w:val="20"/>
                <w:szCs w:val="20"/>
              </w:rPr>
              <w:t>.</w:t>
            </w:r>
          </w:p>
        </w:tc>
      </w:tr>
      <w:tr w:rsidR="004B0F1C" w:rsidRPr="008B4C85" w:rsidTr="004B0F1C">
        <w:trPr>
          <w:trHeight w:val="409"/>
        </w:trPr>
        <w:tc>
          <w:tcPr>
            <w:tcW w:w="3549" w:type="dxa"/>
            <w:tcBorders>
              <w:top w:val="nil"/>
              <w:left w:val="single" w:sz="4" w:space="0" w:color="auto"/>
              <w:bottom w:val="single" w:sz="4" w:space="0" w:color="auto"/>
              <w:right w:val="single" w:sz="4" w:space="0" w:color="auto"/>
            </w:tcBorders>
            <w:shd w:val="clear" w:color="000000" w:fill="B1A0C7"/>
            <w:vAlign w:val="center"/>
            <w:hideMark/>
          </w:tcPr>
          <w:p w:rsidR="004B0F1C" w:rsidRPr="008B4C85" w:rsidRDefault="004B0F1C" w:rsidP="008B4C85">
            <w:pPr>
              <w:spacing w:after="0"/>
              <w:jc w:val="center"/>
              <w:rPr>
                <w:rFonts w:cs="Arial"/>
                <w:b/>
                <w:bCs/>
                <w:color w:val="FFFFFF"/>
                <w:sz w:val="20"/>
                <w:szCs w:val="20"/>
              </w:rPr>
            </w:pPr>
            <w:r w:rsidRPr="008B4C85">
              <w:rPr>
                <w:rFonts w:cs="Arial"/>
                <w:b/>
                <w:bCs/>
                <w:color w:val="FFFFFF"/>
                <w:sz w:val="20"/>
                <w:szCs w:val="20"/>
              </w:rPr>
              <w:t>Street Engagement</w:t>
            </w:r>
          </w:p>
        </w:tc>
        <w:tc>
          <w:tcPr>
            <w:tcW w:w="2552" w:type="dxa"/>
            <w:tcBorders>
              <w:top w:val="nil"/>
              <w:left w:val="nil"/>
              <w:bottom w:val="single" w:sz="4" w:space="0" w:color="auto"/>
              <w:right w:val="single" w:sz="4" w:space="0" w:color="auto"/>
            </w:tcBorders>
            <w:shd w:val="clear" w:color="000000" w:fill="B1A0C7"/>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B1A0C7"/>
            <w:noWrap/>
            <w:vAlign w:val="center"/>
            <w:hideMark/>
          </w:tcPr>
          <w:p w:rsidR="004B0F1C" w:rsidRPr="008B4C85" w:rsidRDefault="004B0F1C" w:rsidP="001A7D34">
            <w:pPr>
              <w:spacing w:after="0"/>
              <w:jc w:val="center"/>
              <w:rPr>
                <w:rFonts w:cs="Arial"/>
                <w:b/>
                <w:bCs/>
                <w:color w:val="auto"/>
                <w:sz w:val="20"/>
                <w:szCs w:val="20"/>
              </w:rPr>
            </w:pPr>
            <w:r w:rsidRPr="008B4C85">
              <w:rPr>
                <w:rFonts w:cs="Arial"/>
                <w:b/>
                <w:bCs/>
                <w:color w:val="auto"/>
                <w:sz w:val="20"/>
                <w:szCs w:val="20"/>
              </w:rPr>
              <w:t>£370,014</w:t>
            </w:r>
          </w:p>
        </w:tc>
        <w:tc>
          <w:tcPr>
            <w:tcW w:w="6688" w:type="dxa"/>
            <w:tcBorders>
              <w:top w:val="nil"/>
              <w:left w:val="nil"/>
              <w:bottom w:val="single" w:sz="4" w:space="0" w:color="auto"/>
              <w:right w:val="single" w:sz="4" w:space="0" w:color="auto"/>
            </w:tcBorders>
            <w:shd w:val="clear" w:color="000000" w:fill="B1A0C7"/>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1549"/>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Street Outreach and Single Homeless Service - St Mungo's Broadway</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St Mungo's</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Default="004B0F1C" w:rsidP="00B72910">
            <w:pPr>
              <w:spacing w:after="0"/>
              <w:jc w:val="center"/>
              <w:rPr>
                <w:rFonts w:cs="Arial"/>
                <w:color w:val="auto"/>
                <w:sz w:val="20"/>
                <w:szCs w:val="20"/>
              </w:rPr>
            </w:pPr>
            <w:r w:rsidRPr="008B4C85">
              <w:rPr>
                <w:rFonts w:cs="Arial"/>
                <w:color w:val="auto"/>
                <w:sz w:val="20"/>
                <w:szCs w:val="20"/>
              </w:rPr>
              <w:t>£</w:t>
            </w:r>
            <w:r w:rsidR="00C710AB">
              <w:rPr>
                <w:rFonts w:cs="Arial"/>
                <w:color w:val="auto"/>
                <w:sz w:val="20"/>
                <w:szCs w:val="20"/>
              </w:rPr>
              <w:t>320,</w:t>
            </w:r>
            <w:r w:rsidR="00B72910">
              <w:rPr>
                <w:rFonts w:cs="Arial"/>
                <w:color w:val="auto"/>
                <w:sz w:val="20"/>
                <w:szCs w:val="20"/>
              </w:rPr>
              <w:t>014</w:t>
            </w:r>
          </w:p>
          <w:p w:rsidR="00B72910" w:rsidRPr="008B4C85" w:rsidRDefault="00B72910" w:rsidP="00B72910">
            <w:pPr>
              <w:spacing w:after="0"/>
              <w:jc w:val="center"/>
              <w:rPr>
                <w:rFonts w:cs="Arial"/>
                <w:color w:val="auto"/>
                <w:sz w:val="20"/>
                <w:szCs w:val="20"/>
              </w:rPr>
            </w:pP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a team of 9 FTE to deliver </w:t>
            </w:r>
            <w:proofErr w:type="spellStart"/>
            <w:proofErr w:type="gramStart"/>
            <w:r w:rsidRPr="008B4C85">
              <w:rPr>
                <w:rFonts w:cs="Arial"/>
                <w:color w:val="auto"/>
                <w:sz w:val="20"/>
                <w:szCs w:val="20"/>
              </w:rPr>
              <w:t>a</w:t>
            </w:r>
            <w:proofErr w:type="spellEnd"/>
            <w:proofErr w:type="gramEnd"/>
            <w:r w:rsidRPr="008B4C85">
              <w:rPr>
                <w:rFonts w:cs="Arial"/>
                <w:color w:val="auto"/>
                <w:sz w:val="20"/>
                <w:szCs w:val="20"/>
              </w:rPr>
              <w:t xml:space="preserve"> assertive outreach, reconnection, personalisation and advice service for rough sleepers and single homeless people. The team helps rough sleepers to access suitable accommodation and support in the City, Oxfordshire and elsewhere with the aim of reducing the number of people who spend a second night on the street, live on or return to the streets.</w:t>
            </w:r>
          </w:p>
        </w:tc>
      </w:tr>
      <w:tr w:rsidR="004B0F1C" w:rsidRPr="008B4C85" w:rsidTr="004B0F1C">
        <w:trPr>
          <w:trHeight w:val="125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Rough Sleeping &amp; Street activity service - TVP</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Thames Valley Police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£40,000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4B0F1C" w:rsidRPr="008B4C85" w:rsidTr="004B0F1C">
        <w:trPr>
          <w:trHeight w:val="1423"/>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City Centre Ambassadors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 City Council</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£10,000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4B0F1C" w:rsidRPr="008B4C85" w:rsidTr="004B0F1C">
        <w:trPr>
          <w:trHeight w:val="409"/>
        </w:trPr>
        <w:tc>
          <w:tcPr>
            <w:tcW w:w="3549" w:type="dxa"/>
            <w:tcBorders>
              <w:top w:val="nil"/>
              <w:left w:val="single" w:sz="4" w:space="0" w:color="auto"/>
              <w:bottom w:val="single" w:sz="4" w:space="0" w:color="auto"/>
              <w:right w:val="single" w:sz="4" w:space="0" w:color="auto"/>
            </w:tcBorders>
            <w:shd w:val="clear" w:color="000000" w:fill="8DB4E2"/>
            <w:vAlign w:val="center"/>
            <w:hideMark/>
          </w:tcPr>
          <w:p w:rsidR="004B0F1C" w:rsidRPr="008B4C85" w:rsidRDefault="004B0F1C" w:rsidP="008B4C85">
            <w:pPr>
              <w:spacing w:after="0"/>
              <w:jc w:val="center"/>
              <w:rPr>
                <w:rFonts w:cs="Arial"/>
                <w:b/>
                <w:bCs/>
                <w:color w:val="FFFFFF"/>
                <w:sz w:val="20"/>
                <w:szCs w:val="20"/>
              </w:rPr>
            </w:pPr>
            <w:r w:rsidRPr="008B4C85">
              <w:rPr>
                <w:rFonts w:cs="Arial"/>
                <w:b/>
                <w:bCs/>
                <w:color w:val="FFFFFF"/>
                <w:sz w:val="20"/>
                <w:szCs w:val="20"/>
              </w:rPr>
              <w:lastRenderedPageBreak/>
              <w:t>Preventing homelessness</w:t>
            </w:r>
          </w:p>
        </w:tc>
        <w:tc>
          <w:tcPr>
            <w:tcW w:w="2552" w:type="dxa"/>
            <w:tcBorders>
              <w:top w:val="nil"/>
              <w:left w:val="nil"/>
              <w:bottom w:val="single" w:sz="4" w:space="0" w:color="auto"/>
              <w:right w:val="single" w:sz="4" w:space="0" w:color="auto"/>
            </w:tcBorders>
            <w:shd w:val="clear" w:color="000000" w:fill="8DB4E2"/>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8DB4E2"/>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£161,671</w:t>
            </w:r>
          </w:p>
        </w:tc>
        <w:tc>
          <w:tcPr>
            <w:tcW w:w="6688" w:type="dxa"/>
            <w:tcBorders>
              <w:top w:val="nil"/>
              <w:left w:val="nil"/>
              <w:bottom w:val="single" w:sz="4" w:space="0" w:color="auto"/>
              <w:right w:val="single" w:sz="4" w:space="0" w:color="auto"/>
            </w:tcBorders>
            <w:shd w:val="clear" w:color="000000" w:fill="8DB4E2"/>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557"/>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Tenancy Sustainment Officer - Elmore </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Elmore Community Services</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£35,630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1 FTE specialist sustainment officer to support residents in Oxford City Council accommodation to maintain their tenancies. </w:t>
            </w:r>
          </w:p>
        </w:tc>
      </w:tr>
      <w:tr w:rsidR="004B0F1C" w:rsidRPr="008B4C85" w:rsidTr="004B0F1C">
        <w:trPr>
          <w:trHeight w:val="693"/>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Pre-tenancy training course - Connection</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Connection Support</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£16,000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to provide courses to help 50 people develop a range of skills that will enable them to become tenancy ready.</w:t>
            </w:r>
          </w:p>
        </w:tc>
      </w:tr>
      <w:tr w:rsidR="004B0F1C" w:rsidRPr="008B4C85" w:rsidTr="004B0F1C">
        <w:trPr>
          <w:trHeight w:val="702"/>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Welfare Reform Outreach Team</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 City Council</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£80,041</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contribution towards the work of a team focussing on the impact of welfare reform across the City</w:t>
            </w:r>
          </w:p>
        </w:tc>
      </w:tr>
      <w:tr w:rsidR="004B0F1C" w:rsidRPr="008B4C85" w:rsidTr="004B0F1C">
        <w:trPr>
          <w:trHeight w:val="667"/>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Target Hardening/Sanctuary Scheme</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 City Council</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£30,000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provided for a post in the Anti-Social Behaviour Team to support victims of domestic abuse and enable them to stay in their own homes. </w:t>
            </w:r>
          </w:p>
        </w:tc>
      </w:tr>
      <w:tr w:rsidR="004B0F1C" w:rsidRPr="008B4C85" w:rsidTr="004B0F1C">
        <w:trPr>
          <w:trHeight w:val="255"/>
        </w:trPr>
        <w:tc>
          <w:tcPr>
            <w:tcW w:w="3549" w:type="dxa"/>
            <w:tcBorders>
              <w:top w:val="nil"/>
              <w:left w:val="single" w:sz="4" w:space="0" w:color="auto"/>
              <w:bottom w:val="single" w:sz="4" w:space="0" w:color="auto"/>
              <w:right w:val="single" w:sz="4" w:space="0" w:color="auto"/>
            </w:tcBorders>
            <w:shd w:val="clear" w:color="000000" w:fill="C4D79B"/>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Access to health and social care</w:t>
            </w:r>
          </w:p>
        </w:tc>
        <w:tc>
          <w:tcPr>
            <w:tcW w:w="2552" w:type="dxa"/>
            <w:tcBorders>
              <w:top w:val="nil"/>
              <w:left w:val="nil"/>
              <w:bottom w:val="single" w:sz="4" w:space="0" w:color="auto"/>
              <w:right w:val="single" w:sz="4" w:space="0" w:color="auto"/>
            </w:tcBorders>
            <w:shd w:val="clear" w:color="000000" w:fill="C4D79B"/>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C4D79B"/>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£25,000</w:t>
            </w:r>
          </w:p>
        </w:tc>
        <w:tc>
          <w:tcPr>
            <w:tcW w:w="6688" w:type="dxa"/>
            <w:tcBorders>
              <w:top w:val="nil"/>
              <w:left w:val="nil"/>
              <w:bottom w:val="single" w:sz="4" w:space="0" w:color="auto"/>
              <w:right w:val="single" w:sz="4" w:space="0" w:color="auto"/>
            </w:tcBorders>
            <w:shd w:val="clear" w:color="000000" w:fill="C4D79B"/>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1201"/>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Mental Health Practitioner - LSMC</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Luther Street Medical Centre</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£25,000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to contribute towards 1 FTE Mental Health Practitioner in order to providing the outreach team with specialist mental health support and intervention when supporting rough sleepers. Funded in partnership with Oxford Health and Oxford Homeless Medical Fund.</w:t>
            </w:r>
          </w:p>
        </w:tc>
      </w:tr>
      <w:tr w:rsidR="004B0F1C" w:rsidRPr="008B4C85" w:rsidTr="004B0F1C">
        <w:trPr>
          <w:trHeight w:val="222"/>
        </w:trPr>
        <w:tc>
          <w:tcPr>
            <w:tcW w:w="3549" w:type="dxa"/>
            <w:tcBorders>
              <w:top w:val="nil"/>
              <w:left w:val="single" w:sz="4" w:space="0" w:color="auto"/>
              <w:bottom w:val="single" w:sz="4" w:space="0" w:color="auto"/>
              <w:right w:val="single" w:sz="4" w:space="0" w:color="auto"/>
            </w:tcBorders>
            <w:shd w:val="clear" w:color="000000" w:fill="B7DEE8"/>
            <w:vAlign w:val="center"/>
            <w:hideMark/>
          </w:tcPr>
          <w:p w:rsidR="004B0F1C" w:rsidRPr="008B4C85" w:rsidRDefault="004B0F1C" w:rsidP="004B0F1C">
            <w:pPr>
              <w:spacing w:after="0"/>
              <w:jc w:val="center"/>
              <w:rPr>
                <w:rFonts w:cs="Arial"/>
                <w:b/>
                <w:bCs/>
                <w:color w:val="auto"/>
                <w:sz w:val="20"/>
                <w:szCs w:val="20"/>
              </w:rPr>
            </w:pPr>
            <w:r w:rsidRPr="008B4C85">
              <w:rPr>
                <w:rFonts w:cs="Arial"/>
                <w:b/>
                <w:bCs/>
                <w:color w:val="auto"/>
                <w:sz w:val="20"/>
                <w:szCs w:val="20"/>
              </w:rPr>
              <w:t xml:space="preserve">Positive activities &amp; </w:t>
            </w:r>
            <w:r>
              <w:rPr>
                <w:rFonts w:cs="Arial"/>
                <w:b/>
                <w:bCs/>
                <w:color w:val="auto"/>
                <w:sz w:val="20"/>
                <w:szCs w:val="20"/>
              </w:rPr>
              <w:t xml:space="preserve">help to get into </w:t>
            </w:r>
            <w:r w:rsidRPr="008B4C85">
              <w:rPr>
                <w:rFonts w:cs="Arial"/>
                <w:b/>
                <w:bCs/>
                <w:color w:val="auto"/>
                <w:sz w:val="20"/>
                <w:szCs w:val="20"/>
              </w:rPr>
              <w:t>work</w:t>
            </w:r>
          </w:p>
        </w:tc>
        <w:tc>
          <w:tcPr>
            <w:tcW w:w="2552" w:type="dxa"/>
            <w:tcBorders>
              <w:top w:val="nil"/>
              <w:left w:val="nil"/>
              <w:bottom w:val="single" w:sz="4" w:space="0" w:color="auto"/>
              <w:right w:val="single" w:sz="4" w:space="0" w:color="auto"/>
            </w:tcBorders>
            <w:shd w:val="clear" w:color="000000" w:fill="B7DEE8"/>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B7DEE8"/>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£250,981</w:t>
            </w:r>
          </w:p>
        </w:tc>
        <w:tc>
          <w:tcPr>
            <w:tcW w:w="6688" w:type="dxa"/>
            <w:tcBorders>
              <w:top w:val="nil"/>
              <w:left w:val="nil"/>
              <w:bottom w:val="single" w:sz="4" w:space="0" w:color="auto"/>
              <w:right w:val="single" w:sz="4" w:space="0" w:color="auto"/>
            </w:tcBorders>
            <w:shd w:val="clear" w:color="000000" w:fill="B7DEE8"/>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134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O'Hanlon House Day Centre </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Homeless Oxfordshire</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£82,778</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for provision of day services – showers and laundry facilities as well as breakfast and lunch and any other activities taking place – for individuals rough sleeping in the City and working with outreach services to access suitable accommodation.</w:t>
            </w:r>
          </w:p>
        </w:tc>
      </w:tr>
      <w:tr w:rsidR="004B0F1C" w:rsidRPr="008B4C85" w:rsidTr="004B0F1C">
        <w:trPr>
          <w:trHeight w:val="54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Gatehouse Café</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Gatehouse</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£5,580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Core funding for the Gatehouse café, to support and engage hard to reach clients to access accommodation and specialist support </w:t>
            </w:r>
          </w:p>
        </w:tc>
      </w:tr>
      <w:tr w:rsidR="004B0F1C" w:rsidRPr="008B4C85" w:rsidTr="004B0F1C">
        <w:trPr>
          <w:trHeight w:val="1144"/>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The Porch Day Centre</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The Porch</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£55,000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Core funding for The Porch (formerly known as </w:t>
            </w:r>
            <w:proofErr w:type="spellStart"/>
            <w:r w:rsidRPr="008B4C85">
              <w:rPr>
                <w:rFonts w:cs="Arial"/>
                <w:color w:val="auto"/>
                <w:sz w:val="20"/>
                <w:szCs w:val="20"/>
              </w:rPr>
              <w:t>Steppin</w:t>
            </w:r>
            <w:proofErr w:type="spellEnd"/>
            <w:r w:rsidRPr="008B4C85">
              <w:rPr>
                <w:rFonts w:cs="Arial"/>
                <w:color w:val="auto"/>
                <w:sz w:val="20"/>
                <w:szCs w:val="20"/>
              </w:rPr>
              <w:t xml:space="preserve">’ Stone) daycentre to support rough sleepers and those vulnerably housed through a range of activities, training and education and where appropriate sign post clients to more appropriate services. </w:t>
            </w:r>
          </w:p>
        </w:tc>
      </w:tr>
      <w:tr w:rsidR="004B0F1C" w:rsidRPr="008B4C85" w:rsidTr="004B0F1C">
        <w:trPr>
          <w:trHeight w:val="1117"/>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Aspire </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Aspire Oxford</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£77,623</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4B0F1C" w:rsidRPr="008B4C85" w:rsidTr="004B0F1C">
        <w:trPr>
          <w:trHeight w:val="41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B1713B">
            <w:pPr>
              <w:spacing w:after="0"/>
              <w:rPr>
                <w:rFonts w:cs="Arial"/>
                <w:color w:val="auto"/>
                <w:sz w:val="20"/>
                <w:szCs w:val="20"/>
              </w:rPr>
            </w:pPr>
            <w:r w:rsidRPr="008B4C85">
              <w:rPr>
                <w:rFonts w:cs="Arial"/>
                <w:color w:val="auto"/>
                <w:sz w:val="20"/>
                <w:szCs w:val="20"/>
              </w:rPr>
              <w:lastRenderedPageBreak/>
              <w:t xml:space="preserve">Aspire </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B1713B">
            <w:pPr>
              <w:spacing w:after="0"/>
              <w:rPr>
                <w:rFonts w:cs="Arial"/>
                <w:color w:val="auto"/>
                <w:sz w:val="20"/>
                <w:szCs w:val="20"/>
              </w:rPr>
            </w:pPr>
            <w:r w:rsidRPr="008B4C85">
              <w:rPr>
                <w:rFonts w:cs="Arial"/>
                <w:color w:val="auto"/>
                <w:sz w:val="20"/>
                <w:szCs w:val="20"/>
              </w:rPr>
              <w:t>Aspire Oxford</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w:t>
            </w:r>
            <w:r>
              <w:rPr>
                <w:rFonts w:cs="Arial"/>
                <w:color w:val="auto"/>
                <w:sz w:val="20"/>
                <w:szCs w:val="20"/>
              </w:rPr>
              <w:t>One-off payment towards services hub.</w:t>
            </w:r>
          </w:p>
        </w:tc>
      </w:tr>
      <w:tr w:rsidR="004B0F1C" w:rsidRPr="008B4C85" w:rsidTr="004B0F1C">
        <w:trPr>
          <w:trHeight w:val="1126"/>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Emmaus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Emmaus</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Core funding for Emmaus to provide accommodation in their community and work opportunities in their second-hand furniture social enterprise. A clause in the agreement enables the Council to taper the grant as the business moves towards self-sufficiency.</w:t>
            </w:r>
          </w:p>
        </w:tc>
      </w:tr>
      <w:tr w:rsidR="004B0F1C" w:rsidRPr="008B4C85" w:rsidTr="004B0F1C">
        <w:trPr>
          <w:trHeight w:val="844"/>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Service Broker - The Big Issue Foundation</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The Big Issue Foundation</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£10,000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for 1 FTE to support Big Issues sellers into accommodation and into sustainable work opportunities. This contract will continue to be within a payment by results framework.</w:t>
            </w:r>
          </w:p>
        </w:tc>
      </w:tr>
      <w:tr w:rsidR="004B0F1C" w:rsidRPr="008B4C85" w:rsidTr="004B0F1C">
        <w:trPr>
          <w:trHeight w:val="417"/>
        </w:trPr>
        <w:tc>
          <w:tcPr>
            <w:tcW w:w="3549" w:type="dxa"/>
            <w:tcBorders>
              <w:top w:val="single" w:sz="4" w:space="0" w:color="auto"/>
              <w:left w:val="single" w:sz="4" w:space="0" w:color="auto"/>
              <w:bottom w:val="single" w:sz="4" w:space="0" w:color="auto"/>
              <w:right w:val="nil"/>
            </w:tcBorders>
            <w:shd w:val="clear" w:color="000000" w:fill="FFFF00"/>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Priority Services for Young People</w:t>
            </w:r>
          </w:p>
        </w:tc>
        <w:tc>
          <w:tcPr>
            <w:tcW w:w="2552" w:type="dxa"/>
            <w:tcBorders>
              <w:top w:val="single" w:sz="4" w:space="0" w:color="auto"/>
              <w:left w:val="nil"/>
              <w:bottom w:val="single" w:sz="4" w:space="0" w:color="auto"/>
              <w:right w:val="nil"/>
            </w:tcBorders>
            <w:shd w:val="clear" w:color="000000" w:fill="FFFF00"/>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single" w:sz="4" w:space="0" w:color="auto"/>
              <w:left w:val="nil"/>
              <w:bottom w:val="single" w:sz="4" w:space="0" w:color="auto"/>
              <w:right w:val="nil"/>
            </w:tcBorders>
            <w:shd w:val="clear" w:color="000000" w:fill="FFFF00"/>
            <w:noWrap/>
            <w:vAlign w:val="center"/>
            <w:hideMark/>
          </w:tcPr>
          <w:p w:rsidR="004B0F1C" w:rsidRPr="00F2394D" w:rsidRDefault="00B72910" w:rsidP="00F2394D">
            <w:pPr>
              <w:spacing w:after="0"/>
              <w:jc w:val="center"/>
              <w:rPr>
                <w:rFonts w:cs="Arial"/>
                <w:b/>
                <w:bCs/>
                <w:color w:val="auto"/>
                <w:sz w:val="20"/>
                <w:szCs w:val="20"/>
              </w:rPr>
            </w:pPr>
            <w:r w:rsidRPr="00F2394D">
              <w:rPr>
                <w:rFonts w:cs="Arial"/>
                <w:b/>
                <w:bCs/>
                <w:color w:val="auto"/>
                <w:sz w:val="20"/>
                <w:szCs w:val="20"/>
              </w:rPr>
              <w:t>£49,126</w:t>
            </w:r>
          </w:p>
        </w:tc>
        <w:tc>
          <w:tcPr>
            <w:tcW w:w="6688" w:type="dxa"/>
            <w:tcBorders>
              <w:top w:val="single" w:sz="4" w:space="0" w:color="auto"/>
              <w:left w:val="nil"/>
              <w:bottom w:val="single" w:sz="4" w:space="0" w:color="auto"/>
              <w:right w:val="nil"/>
            </w:tcBorders>
            <w:shd w:val="clear" w:color="000000" w:fill="FFFF00"/>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B72910" w:rsidRPr="008B4C85" w:rsidTr="004B0F1C">
        <w:trPr>
          <w:trHeight w:val="692"/>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B72910" w:rsidRPr="008B4C85" w:rsidRDefault="00F2394D" w:rsidP="008B4C85">
            <w:pPr>
              <w:spacing w:after="0"/>
              <w:rPr>
                <w:rFonts w:cs="Arial"/>
                <w:color w:val="auto"/>
                <w:sz w:val="20"/>
                <w:szCs w:val="20"/>
              </w:rPr>
            </w:pPr>
            <w:r w:rsidRPr="00F2394D">
              <w:rPr>
                <w:rFonts w:cs="Arial"/>
                <w:color w:val="auto"/>
                <w:sz w:val="20"/>
                <w:szCs w:val="20"/>
              </w:rPr>
              <w:t>Contribution to County for YP pathway</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72910" w:rsidRPr="008B4C85" w:rsidRDefault="00F2394D" w:rsidP="008B4C85">
            <w:pPr>
              <w:spacing w:after="0"/>
              <w:rPr>
                <w:rFonts w:cs="Arial"/>
                <w:color w:val="auto"/>
                <w:sz w:val="20"/>
                <w:szCs w:val="20"/>
              </w:rPr>
            </w:pPr>
            <w:r w:rsidRPr="008B4C85">
              <w:rPr>
                <w:rFonts w:cs="Arial"/>
                <w:color w:val="auto"/>
                <w:sz w:val="20"/>
                <w:szCs w:val="20"/>
              </w:rPr>
              <w:t>Oxfordshire County Council</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2910" w:rsidRDefault="00B72910" w:rsidP="00B72910">
            <w:pPr>
              <w:jc w:val="center"/>
              <w:rPr>
                <w:rFonts w:cs="Arial"/>
                <w:sz w:val="20"/>
                <w:szCs w:val="20"/>
              </w:rPr>
            </w:pPr>
            <w:r>
              <w:rPr>
                <w:rFonts w:cs="Arial"/>
                <w:sz w:val="20"/>
                <w:szCs w:val="20"/>
              </w:rPr>
              <w:t>£42,992</w:t>
            </w:r>
          </w:p>
          <w:p w:rsidR="00B72910" w:rsidRPr="00B72910" w:rsidRDefault="00B72910" w:rsidP="008B4C85">
            <w:pPr>
              <w:spacing w:after="0"/>
              <w:jc w:val="center"/>
              <w:rPr>
                <w:rFonts w:cs="Arial"/>
                <w:color w:val="auto"/>
                <w:sz w:val="20"/>
                <w:szCs w:val="20"/>
                <w:highlight w:val="red"/>
              </w:rPr>
            </w:pPr>
          </w:p>
        </w:tc>
        <w:tc>
          <w:tcPr>
            <w:tcW w:w="6688" w:type="dxa"/>
            <w:tcBorders>
              <w:top w:val="single" w:sz="4" w:space="0" w:color="auto"/>
              <w:left w:val="nil"/>
              <w:bottom w:val="single" w:sz="4" w:space="0" w:color="auto"/>
              <w:right w:val="single" w:sz="4" w:space="0" w:color="auto"/>
            </w:tcBorders>
            <w:shd w:val="clear" w:color="auto" w:fill="auto"/>
            <w:noWrap/>
            <w:vAlign w:val="center"/>
          </w:tcPr>
          <w:p w:rsidR="00B72910" w:rsidRPr="008B4C85" w:rsidRDefault="00B72910" w:rsidP="008B4C85">
            <w:pPr>
              <w:spacing w:after="0"/>
              <w:rPr>
                <w:rFonts w:cs="Arial"/>
                <w:color w:val="auto"/>
                <w:sz w:val="20"/>
                <w:szCs w:val="20"/>
              </w:rPr>
            </w:pPr>
          </w:p>
        </w:tc>
      </w:tr>
      <w:tr w:rsidR="004B0F1C" w:rsidRPr="008B4C85" w:rsidTr="004B0F1C">
        <w:trPr>
          <w:trHeight w:val="692"/>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Emergency Bed for Young Person in Oxford city</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Oxfordshire County Council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0F1C" w:rsidRPr="00F2394D" w:rsidRDefault="004B0F1C" w:rsidP="008B4C85">
            <w:pPr>
              <w:spacing w:after="0"/>
              <w:jc w:val="center"/>
              <w:rPr>
                <w:rFonts w:cs="Arial"/>
                <w:color w:val="auto"/>
                <w:sz w:val="20"/>
                <w:szCs w:val="20"/>
              </w:rPr>
            </w:pPr>
            <w:r w:rsidRPr="00F2394D">
              <w:rPr>
                <w:rFonts w:cs="Arial"/>
                <w:color w:val="auto"/>
                <w:sz w:val="20"/>
                <w:szCs w:val="20"/>
              </w:rPr>
              <w:t>£6,134</w:t>
            </w:r>
          </w:p>
        </w:tc>
        <w:tc>
          <w:tcPr>
            <w:tcW w:w="6688" w:type="dxa"/>
            <w:tcBorders>
              <w:top w:val="single" w:sz="4" w:space="0" w:color="auto"/>
              <w:left w:val="nil"/>
              <w:bottom w:val="single" w:sz="4" w:space="0" w:color="auto"/>
              <w:right w:val="single" w:sz="4" w:space="0" w:color="auto"/>
            </w:tcBorders>
            <w:shd w:val="clear" w:color="auto" w:fill="auto"/>
            <w:noWrap/>
            <w:vAlign w:val="center"/>
            <w:hideMark/>
          </w:tcPr>
          <w:p w:rsidR="004B0F1C" w:rsidRPr="00F2394D" w:rsidRDefault="004B0F1C" w:rsidP="008B4C85">
            <w:pPr>
              <w:spacing w:after="0"/>
              <w:rPr>
                <w:rFonts w:cs="Arial"/>
                <w:color w:val="auto"/>
                <w:sz w:val="20"/>
                <w:szCs w:val="20"/>
              </w:rPr>
            </w:pPr>
            <w:r w:rsidRPr="00F2394D">
              <w:rPr>
                <w:rFonts w:cs="Arial"/>
                <w:color w:val="auto"/>
                <w:sz w:val="20"/>
                <w:szCs w:val="20"/>
              </w:rPr>
              <w:t>Funding provides one emergency bed within the Young Person’s pathway for use by Oxford City.</w:t>
            </w:r>
          </w:p>
        </w:tc>
      </w:tr>
      <w:tr w:rsidR="004B0F1C" w:rsidRPr="008B4C85" w:rsidTr="004B0F1C">
        <w:trPr>
          <w:trHeight w:val="419"/>
        </w:trPr>
        <w:tc>
          <w:tcPr>
            <w:tcW w:w="3549" w:type="dxa"/>
            <w:tcBorders>
              <w:top w:val="nil"/>
              <w:left w:val="single" w:sz="4" w:space="0" w:color="auto"/>
              <w:bottom w:val="nil"/>
              <w:right w:val="single" w:sz="4" w:space="0" w:color="auto"/>
            </w:tcBorders>
            <w:shd w:val="clear" w:color="000000" w:fill="DA9694"/>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Other</w:t>
            </w:r>
          </w:p>
        </w:tc>
        <w:tc>
          <w:tcPr>
            <w:tcW w:w="2552" w:type="dxa"/>
            <w:tcBorders>
              <w:top w:val="nil"/>
              <w:left w:val="nil"/>
              <w:bottom w:val="nil"/>
              <w:right w:val="single" w:sz="4" w:space="0" w:color="auto"/>
            </w:tcBorders>
            <w:shd w:val="clear" w:color="000000" w:fill="DA9694"/>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nil"/>
              <w:right w:val="single" w:sz="4" w:space="0" w:color="auto"/>
            </w:tcBorders>
            <w:shd w:val="clear" w:color="000000" w:fill="DA9694"/>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£134,000</w:t>
            </w:r>
          </w:p>
        </w:tc>
        <w:tc>
          <w:tcPr>
            <w:tcW w:w="6688" w:type="dxa"/>
            <w:tcBorders>
              <w:top w:val="nil"/>
              <w:left w:val="nil"/>
              <w:bottom w:val="nil"/>
              <w:right w:val="single" w:sz="4" w:space="0" w:color="auto"/>
            </w:tcBorders>
            <w:shd w:val="clear" w:color="000000" w:fill="DA9694"/>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621"/>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Single Homelessness Team (current arrangements)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 City Council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£120,000</w:t>
            </w:r>
          </w:p>
        </w:tc>
        <w:tc>
          <w:tcPr>
            <w:tcW w:w="6688" w:type="dxa"/>
            <w:tcBorders>
              <w:top w:val="single" w:sz="4" w:space="0" w:color="auto"/>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contribution towards the Council’s Rough Sleeping and Single Homelessness Team. </w:t>
            </w:r>
          </w:p>
        </w:tc>
      </w:tr>
      <w:tr w:rsidR="004B0F1C" w:rsidRPr="008B4C85" w:rsidTr="004B0F1C">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proofErr w:type="spellStart"/>
            <w:r w:rsidRPr="008B4C85">
              <w:rPr>
                <w:rFonts w:cs="Arial"/>
                <w:color w:val="auto"/>
                <w:sz w:val="20"/>
                <w:szCs w:val="20"/>
              </w:rPr>
              <w:t>OxfordCHAIN</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Real Systems</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£4,000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Core funding to maintain web-based database management system that collates data and provides monitoring reports on rough sleeping.</w:t>
            </w:r>
          </w:p>
        </w:tc>
      </w:tr>
      <w:tr w:rsidR="004B0F1C" w:rsidRPr="008B4C85" w:rsidTr="004B0F1C">
        <w:trPr>
          <w:trHeight w:val="65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In year commissioning</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TBC</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£10,000</w:t>
            </w:r>
          </w:p>
        </w:tc>
        <w:tc>
          <w:tcPr>
            <w:tcW w:w="6688"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has been put aside in order for officers to respond to unmet need by commissioning services addressing emerging service gaps. </w:t>
            </w:r>
          </w:p>
        </w:tc>
      </w:tr>
      <w:tr w:rsidR="004B0F1C" w:rsidRPr="008B4C85" w:rsidTr="004B0F1C">
        <w:trPr>
          <w:trHeight w:val="419"/>
        </w:trPr>
        <w:tc>
          <w:tcPr>
            <w:tcW w:w="354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0F1C" w:rsidRPr="008B4C85" w:rsidRDefault="004B0F1C" w:rsidP="004B49FD">
            <w:pPr>
              <w:spacing w:after="0"/>
              <w:rPr>
                <w:rFonts w:cs="Arial"/>
                <w:b/>
                <w:bCs/>
                <w:color w:val="auto"/>
              </w:rPr>
            </w:pPr>
            <w:r w:rsidRPr="008B4C85">
              <w:rPr>
                <w:rFonts w:cs="Arial"/>
                <w:b/>
                <w:bCs/>
                <w:color w:val="auto"/>
              </w:rPr>
              <w:t>Total allocated/committed</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4B0F1C" w:rsidRPr="008B4C85" w:rsidRDefault="004B0F1C" w:rsidP="008B4C85">
            <w:pPr>
              <w:spacing w:after="0"/>
              <w:jc w:val="center"/>
              <w:rPr>
                <w:rFonts w:cs="Arial"/>
                <w:b/>
                <w:bCs/>
                <w:color w:val="auto"/>
              </w:rPr>
            </w:pPr>
            <w:r w:rsidRPr="008B4C85">
              <w:rPr>
                <w:rFonts w:cs="Arial"/>
                <w:b/>
                <w:bCs/>
                <w:color w:val="auto"/>
              </w:rPr>
              <w:t> </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rsidR="004B0F1C" w:rsidRPr="008B4C85" w:rsidRDefault="004B0F1C" w:rsidP="004D3815">
            <w:pPr>
              <w:spacing w:after="0"/>
              <w:jc w:val="center"/>
              <w:rPr>
                <w:rFonts w:cs="Arial"/>
                <w:b/>
                <w:bCs/>
                <w:color w:val="auto"/>
              </w:rPr>
            </w:pPr>
            <w:r w:rsidRPr="008B4C85">
              <w:rPr>
                <w:rFonts w:cs="Arial"/>
                <w:b/>
                <w:bCs/>
                <w:color w:val="auto"/>
              </w:rPr>
              <w:t>1,421,</w:t>
            </w:r>
            <w:r w:rsidR="004D3815" w:rsidRPr="008B4C85">
              <w:rPr>
                <w:rFonts w:cs="Arial"/>
                <w:b/>
                <w:bCs/>
                <w:color w:val="auto"/>
              </w:rPr>
              <w:t>19</w:t>
            </w:r>
            <w:r w:rsidR="004D3815">
              <w:rPr>
                <w:rFonts w:cs="Arial"/>
                <w:b/>
                <w:bCs/>
                <w:color w:val="auto"/>
              </w:rPr>
              <w:t>1</w:t>
            </w:r>
          </w:p>
        </w:tc>
        <w:tc>
          <w:tcPr>
            <w:tcW w:w="6688" w:type="dxa"/>
            <w:tcBorders>
              <w:top w:val="single" w:sz="4" w:space="0" w:color="auto"/>
              <w:left w:val="nil"/>
              <w:bottom w:val="single" w:sz="4" w:space="0" w:color="auto"/>
              <w:right w:val="single" w:sz="4" w:space="0" w:color="auto"/>
            </w:tcBorders>
            <w:shd w:val="clear" w:color="000000" w:fill="F2F2F2"/>
            <w:noWrap/>
            <w:vAlign w:val="center"/>
            <w:hideMark/>
          </w:tcPr>
          <w:p w:rsidR="004B0F1C" w:rsidRPr="008B4C85" w:rsidRDefault="004B0F1C" w:rsidP="008B4C85">
            <w:pPr>
              <w:spacing w:after="0"/>
              <w:jc w:val="center"/>
              <w:rPr>
                <w:rFonts w:cs="Arial"/>
                <w:b/>
                <w:bCs/>
                <w:color w:val="auto"/>
              </w:rPr>
            </w:pPr>
            <w:r w:rsidRPr="008B4C85">
              <w:rPr>
                <w:rFonts w:cs="Arial"/>
                <w:b/>
                <w:bCs/>
                <w:color w:val="auto"/>
              </w:rPr>
              <w:t> </w:t>
            </w:r>
          </w:p>
        </w:tc>
      </w:tr>
      <w:tr w:rsidR="004B0F1C" w:rsidRPr="008B4C85" w:rsidTr="004B0F1C">
        <w:trPr>
          <w:trHeight w:val="360"/>
        </w:trPr>
        <w:tc>
          <w:tcPr>
            <w:tcW w:w="3549" w:type="dxa"/>
            <w:tcBorders>
              <w:top w:val="nil"/>
              <w:left w:val="single" w:sz="4" w:space="0" w:color="auto"/>
              <w:bottom w:val="single" w:sz="4" w:space="0" w:color="auto"/>
              <w:right w:val="single" w:sz="4" w:space="0" w:color="auto"/>
            </w:tcBorders>
            <w:shd w:val="clear" w:color="000000" w:fill="D9D9D9"/>
            <w:noWrap/>
            <w:vAlign w:val="center"/>
            <w:hideMark/>
          </w:tcPr>
          <w:p w:rsidR="004B0F1C" w:rsidRPr="008B4C85" w:rsidRDefault="004B49FD" w:rsidP="004B49FD">
            <w:pPr>
              <w:spacing w:after="0"/>
              <w:rPr>
                <w:rFonts w:cs="Arial"/>
                <w:b/>
                <w:bCs/>
                <w:color w:val="auto"/>
              </w:rPr>
            </w:pPr>
            <w:r>
              <w:rPr>
                <w:rFonts w:cs="Arial"/>
                <w:b/>
                <w:bCs/>
                <w:color w:val="auto"/>
              </w:rPr>
              <w:t>Re-profiled activity into 2018/19</w:t>
            </w:r>
          </w:p>
        </w:tc>
        <w:tc>
          <w:tcPr>
            <w:tcW w:w="2552" w:type="dxa"/>
            <w:tcBorders>
              <w:top w:val="nil"/>
              <w:left w:val="nil"/>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rPr>
            </w:pPr>
            <w:r w:rsidRPr="008B4C85">
              <w:rPr>
                <w:rFonts w:cs="Arial"/>
                <w:b/>
                <w:bCs/>
                <w:color w:val="auto"/>
              </w:rPr>
              <w:t> </w:t>
            </w:r>
          </w:p>
        </w:tc>
        <w:tc>
          <w:tcPr>
            <w:tcW w:w="1701" w:type="dxa"/>
            <w:tcBorders>
              <w:top w:val="nil"/>
              <w:left w:val="nil"/>
              <w:bottom w:val="single" w:sz="4" w:space="0" w:color="auto"/>
              <w:right w:val="single" w:sz="4" w:space="0" w:color="auto"/>
            </w:tcBorders>
            <w:shd w:val="clear" w:color="000000" w:fill="D9D9D9"/>
            <w:noWrap/>
            <w:vAlign w:val="center"/>
            <w:hideMark/>
          </w:tcPr>
          <w:p w:rsidR="004B0F1C" w:rsidRPr="008B4C85" w:rsidRDefault="004B0F1C" w:rsidP="004D3815">
            <w:pPr>
              <w:spacing w:after="0"/>
              <w:jc w:val="center"/>
              <w:rPr>
                <w:rFonts w:cs="Arial"/>
                <w:b/>
                <w:bCs/>
                <w:color w:val="auto"/>
              </w:rPr>
            </w:pPr>
            <w:r w:rsidRPr="008B4C85">
              <w:rPr>
                <w:rFonts w:cs="Arial"/>
                <w:b/>
                <w:bCs/>
                <w:color w:val="auto"/>
              </w:rPr>
              <w:t>£</w:t>
            </w:r>
            <w:r w:rsidR="004D3815" w:rsidRPr="008B4C85">
              <w:rPr>
                <w:rFonts w:cs="Arial"/>
                <w:b/>
                <w:bCs/>
                <w:color w:val="auto"/>
              </w:rPr>
              <w:t>18</w:t>
            </w:r>
            <w:r w:rsidR="004D3815">
              <w:rPr>
                <w:rFonts w:cs="Arial"/>
                <w:b/>
                <w:bCs/>
                <w:color w:val="auto"/>
              </w:rPr>
              <w:t>6</w:t>
            </w:r>
            <w:r w:rsidRPr="008B4C85">
              <w:rPr>
                <w:rFonts w:cs="Arial"/>
                <w:b/>
                <w:bCs/>
                <w:color w:val="auto"/>
              </w:rPr>
              <w:t>,</w:t>
            </w:r>
            <w:r w:rsidR="004D3815">
              <w:rPr>
                <w:rFonts w:cs="Arial"/>
                <w:b/>
                <w:bCs/>
                <w:color w:val="auto"/>
              </w:rPr>
              <w:t>706</w:t>
            </w:r>
          </w:p>
        </w:tc>
        <w:tc>
          <w:tcPr>
            <w:tcW w:w="6688" w:type="dxa"/>
            <w:tcBorders>
              <w:top w:val="nil"/>
              <w:left w:val="nil"/>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rPr>
            </w:pPr>
            <w:r w:rsidRPr="008B4C85">
              <w:rPr>
                <w:rFonts w:cs="Arial"/>
                <w:b/>
                <w:bCs/>
                <w:color w:val="auto"/>
              </w:rPr>
              <w:t> </w:t>
            </w:r>
          </w:p>
        </w:tc>
      </w:tr>
      <w:tr w:rsidR="004B0F1C" w:rsidRPr="008B4C85" w:rsidTr="004B0F1C">
        <w:trPr>
          <w:trHeight w:val="255"/>
        </w:trPr>
        <w:tc>
          <w:tcPr>
            <w:tcW w:w="3549" w:type="dxa"/>
            <w:tcBorders>
              <w:top w:val="nil"/>
              <w:left w:val="nil"/>
              <w:bottom w:val="nil"/>
              <w:right w:val="nil"/>
            </w:tcBorders>
            <w:shd w:val="clear" w:color="auto" w:fill="auto"/>
            <w:noWrap/>
            <w:vAlign w:val="bottom"/>
            <w:hideMark/>
          </w:tcPr>
          <w:p w:rsidR="004B0F1C" w:rsidRPr="008B4C85" w:rsidRDefault="004B0F1C" w:rsidP="008B4C85">
            <w:pPr>
              <w:spacing w:after="0"/>
              <w:rPr>
                <w:rFonts w:cs="Arial"/>
                <w:color w:val="DD0806"/>
                <w:sz w:val="18"/>
                <w:szCs w:val="18"/>
              </w:rPr>
            </w:pPr>
          </w:p>
        </w:tc>
        <w:tc>
          <w:tcPr>
            <w:tcW w:w="2552" w:type="dxa"/>
            <w:tcBorders>
              <w:top w:val="nil"/>
              <w:left w:val="nil"/>
              <w:bottom w:val="nil"/>
              <w:right w:val="nil"/>
            </w:tcBorders>
            <w:shd w:val="clear" w:color="auto" w:fill="auto"/>
            <w:noWrap/>
            <w:vAlign w:val="bottom"/>
            <w:hideMark/>
          </w:tcPr>
          <w:p w:rsidR="004B0F1C" w:rsidRPr="008B4C85" w:rsidRDefault="004B0F1C" w:rsidP="008B4C85">
            <w:pPr>
              <w:spacing w:after="0"/>
              <w:rPr>
                <w:rFonts w:cs="Arial"/>
                <w:color w:val="DD0806"/>
                <w:sz w:val="18"/>
                <w:szCs w:val="18"/>
              </w:rPr>
            </w:pPr>
          </w:p>
        </w:tc>
        <w:tc>
          <w:tcPr>
            <w:tcW w:w="1701" w:type="dxa"/>
            <w:tcBorders>
              <w:top w:val="nil"/>
              <w:left w:val="nil"/>
              <w:bottom w:val="nil"/>
              <w:right w:val="nil"/>
            </w:tcBorders>
            <w:shd w:val="clear" w:color="auto" w:fill="auto"/>
            <w:noWrap/>
            <w:vAlign w:val="bottom"/>
            <w:hideMark/>
          </w:tcPr>
          <w:p w:rsidR="004B0F1C" w:rsidRPr="008B4C85" w:rsidRDefault="004B0F1C" w:rsidP="008B4C85">
            <w:pPr>
              <w:spacing w:after="0"/>
              <w:rPr>
                <w:rFonts w:cs="Arial"/>
                <w:color w:val="DD0806"/>
                <w:sz w:val="18"/>
                <w:szCs w:val="18"/>
              </w:rPr>
            </w:pPr>
          </w:p>
        </w:tc>
        <w:tc>
          <w:tcPr>
            <w:tcW w:w="6688" w:type="dxa"/>
            <w:tcBorders>
              <w:top w:val="nil"/>
              <w:left w:val="nil"/>
              <w:bottom w:val="nil"/>
              <w:right w:val="nil"/>
            </w:tcBorders>
            <w:shd w:val="clear" w:color="auto" w:fill="auto"/>
            <w:noWrap/>
            <w:vAlign w:val="bottom"/>
            <w:hideMark/>
          </w:tcPr>
          <w:p w:rsidR="004B0F1C" w:rsidRPr="008B4C85" w:rsidRDefault="004B0F1C" w:rsidP="008B4C85">
            <w:pPr>
              <w:spacing w:after="0"/>
              <w:rPr>
                <w:rFonts w:cs="Arial"/>
                <w:color w:val="DD0806"/>
                <w:sz w:val="18"/>
                <w:szCs w:val="18"/>
              </w:rPr>
            </w:pPr>
          </w:p>
        </w:tc>
      </w:tr>
    </w:tbl>
    <w:p w:rsidR="008B4C85" w:rsidRPr="00BA09CD" w:rsidRDefault="008B4C85" w:rsidP="008B4C85">
      <w:pPr>
        <w:spacing w:after="0"/>
        <w:ind w:left="360" w:hanging="360"/>
        <w:contextualSpacing/>
      </w:pPr>
    </w:p>
    <w:p w:rsidR="00164509" w:rsidRDefault="00C63175" w:rsidP="00EE6492">
      <w:r w:rsidRPr="00BA09CD">
        <w:t xml:space="preserve">  </w:t>
      </w:r>
    </w:p>
    <w:sectPr w:rsidR="00164509" w:rsidSect="00EE6492">
      <w:headerReference w:type="even" r:id="rId9"/>
      <w:headerReference w:type="default" r:id="rId10"/>
      <w:footerReference w:type="even" r:id="rId11"/>
      <w:headerReference w:type="first" r:id="rId12"/>
      <w:footerReference w:type="first" r:id="rId13"/>
      <w:pgSz w:w="16838" w:h="11906" w:orient="landscape" w:code="9"/>
      <w:pgMar w:top="850" w:right="1418" w:bottom="1304" w:left="1304" w:header="709"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8365C6"/>
    <w:multiLevelType w:val="multilevel"/>
    <w:tmpl w:val="E67CE66C"/>
    <w:numStyleLink w:val="StyleNumberedLeft0cmHanging075cm"/>
  </w:abstractNum>
  <w:num w:numId="1">
    <w:abstractNumId w:val="0"/>
  </w:num>
  <w:num w:numId="2">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1"/>
  </w:num>
  <w:num w:numId="6">
    <w:abstractNumId w:val="9"/>
  </w:num>
  <w:num w:numId="7">
    <w:abstractNumId w:val="7"/>
  </w:num>
  <w:num w:numId="8">
    <w:abstractNumId w:val="14"/>
  </w:num>
  <w:num w:numId="9">
    <w:abstractNumId w:val="14"/>
  </w:num>
  <w:num w:numId="10">
    <w:abstractNumId w:val="5"/>
  </w:num>
  <w:num w:numId="11">
    <w:abstractNumId w:val="10"/>
  </w:num>
  <w:num w:numId="12">
    <w:abstractNumId w:val="12"/>
  </w:num>
  <w:num w:numId="13">
    <w:abstractNumId w:val="14"/>
  </w:num>
  <w:num w:numId="14">
    <w:abstractNumId w:val="13"/>
  </w:num>
  <w:num w:numId="15">
    <w:abstractNumId w:val="14"/>
  </w:num>
  <w:num w:numId="16">
    <w:abstractNumId w:val="4"/>
  </w:num>
  <w:num w:numId="17">
    <w:abstractNumId w:val="1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4"/>
  </w:num>
  <w:num w:numId="23">
    <w:abstractNumId w:val="6"/>
  </w:num>
  <w:num w:numId="24">
    <w:abstractNumId w:val="14"/>
  </w:num>
  <w:num w:numId="25">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07FF"/>
    <w:rsid w:val="00056263"/>
    <w:rsid w:val="00064D8A"/>
    <w:rsid w:val="00064F82"/>
    <w:rsid w:val="00066510"/>
    <w:rsid w:val="00073EF9"/>
    <w:rsid w:val="00077523"/>
    <w:rsid w:val="000831E1"/>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7981"/>
    <w:rsid w:val="002C64F7"/>
    <w:rsid w:val="002E12C1"/>
    <w:rsid w:val="002E19BC"/>
    <w:rsid w:val="002F077B"/>
    <w:rsid w:val="002F41F2"/>
    <w:rsid w:val="00301BF3"/>
    <w:rsid w:val="0030208D"/>
    <w:rsid w:val="00306FB6"/>
    <w:rsid w:val="00310ED5"/>
    <w:rsid w:val="00312113"/>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21CB2"/>
    <w:rsid w:val="00422B8E"/>
    <w:rsid w:val="00424AEF"/>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7CF6"/>
    <w:rsid w:val="00491046"/>
    <w:rsid w:val="004A0023"/>
    <w:rsid w:val="004A1491"/>
    <w:rsid w:val="004A2AC7"/>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4712D"/>
    <w:rsid w:val="00547EF6"/>
    <w:rsid w:val="005570B5"/>
    <w:rsid w:val="00567E18"/>
    <w:rsid w:val="00572A0B"/>
    <w:rsid w:val="00575F5F"/>
    <w:rsid w:val="00581805"/>
    <w:rsid w:val="0058347C"/>
    <w:rsid w:val="00585F76"/>
    <w:rsid w:val="005969F3"/>
    <w:rsid w:val="005A34E4"/>
    <w:rsid w:val="005A7390"/>
    <w:rsid w:val="005B17F2"/>
    <w:rsid w:val="005B7FB0"/>
    <w:rsid w:val="005C35A5"/>
    <w:rsid w:val="005C5425"/>
    <w:rsid w:val="005C577C"/>
    <w:rsid w:val="005C6B5B"/>
    <w:rsid w:val="005C7759"/>
    <w:rsid w:val="005D0621"/>
    <w:rsid w:val="005D1E27"/>
    <w:rsid w:val="005D2A3E"/>
    <w:rsid w:val="005E022E"/>
    <w:rsid w:val="005E31BE"/>
    <w:rsid w:val="005E5215"/>
    <w:rsid w:val="005E72B2"/>
    <w:rsid w:val="005F7F7E"/>
    <w:rsid w:val="00614693"/>
    <w:rsid w:val="00623C2F"/>
    <w:rsid w:val="006256A2"/>
    <w:rsid w:val="00627AE7"/>
    <w:rsid w:val="00633578"/>
    <w:rsid w:val="00637068"/>
    <w:rsid w:val="00640013"/>
    <w:rsid w:val="00641E81"/>
    <w:rsid w:val="00647581"/>
    <w:rsid w:val="00650811"/>
    <w:rsid w:val="00661D3E"/>
    <w:rsid w:val="00667A30"/>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C5C23"/>
    <w:rsid w:val="007E2A26"/>
    <w:rsid w:val="007E570B"/>
    <w:rsid w:val="007F2348"/>
    <w:rsid w:val="00803F07"/>
    <w:rsid w:val="0080749A"/>
    <w:rsid w:val="00821A15"/>
    <w:rsid w:val="00821FB8"/>
    <w:rsid w:val="00822ACD"/>
    <w:rsid w:val="00855C66"/>
    <w:rsid w:val="008624C6"/>
    <w:rsid w:val="00862B61"/>
    <w:rsid w:val="008667C3"/>
    <w:rsid w:val="00871EE4"/>
    <w:rsid w:val="008B293F"/>
    <w:rsid w:val="008B4C85"/>
    <w:rsid w:val="008B5C17"/>
    <w:rsid w:val="008B7371"/>
    <w:rsid w:val="008C1FBF"/>
    <w:rsid w:val="008C4B6C"/>
    <w:rsid w:val="008D26B5"/>
    <w:rsid w:val="008D3DDB"/>
    <w:rsid w:val="008F00D2"/>
    <w:rsid w:val="008F573F"/>
    <w:rsid w:val="009034EC"/>
    <w:rsid w:val="009128E0"/>
    <w:rsid w:val="0093067A"/>
    <w:rsid w:val="00941C60"/>
    <w:rsid w:val="00941CD8"/>
    <w:rsid w:val="00966D42"/>
    <w:rsid w:val="00971689"/>
    <w:rsid w:val="00973E90"/>
    <w:rsid w:val="00975B07"/>
    <w:rsid w:val="00980B4A"/>
    <w:rsid w:val="00990DF3"/>
    <w:rsid w:val="009B168F"/>
    <w:rsid w:val="009B326E"/>
    <w:rsid w:val="009B4537"/>
    <w:rsid w:val="009E33A7"/>
    <w:rsid w:val="009E3D0A"/>
    <w:rsid w:val="009E51FC"/>
    <w:rsid w:val="009E631A"/>
    <w:rsid w:val="009F05E5"/>
    <w:rsid w:val="009F1B44"/>
    <w:rsid w:val="009F1D28"/>
    <w:rsid w:val="009F7618"/>
    <w:rsid w:val="00A04D23"/>
    <w:rsid w:val="00A06766"/>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B1713B"/>
    <w:rsid w:val="00B22313"/>
    <w:rsid w:val="00B2337B"/>
    <w:rsid w:val="00B4230A"/>
    <w:rsid w:val="00B500CA"/>
    <w:rsid w:val="00B72910"/>
    <w:rsid w:val="00B86314"/>
    <w:rsid w:val="00B91B3D"/>
    <w:rsid w:val="00BA1C2E"/>
    <w:rsid w:val="00BA4073"/>
    <w:rsid w:val="00BC200B"/>
    <w:rsid w:val="00BC4756"/>
    <w:rsid w:val="00BC69A4"/>
    <w:rsid w:val="00BD5AEC"/>
    <w:rsid w:val="00BE0680"/>
    <w:rsid w:val="00BE305F"/>
    <w:rsid w:val="00BE7BA3"/>
    <w:rsid w:val="00BF5682"/>
    <w:rsid w:val="00BF7B09"/>
    <w:rsid w:val="00C103B5"/>
    <w:rsid w:val="00C11C17"/>
    <w:rsid w:val="00C161DA"/>
    <w:rsid w:val="00C20A95"/>
    <w:rsid w:val="00C2692F"/>
    <w:rsid w:val="00C3207C"/>
    <w:rsid w:val="00C400E1"/>
    <w:rsid w:val="00C41187"/>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CA3"/>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366E"/>
    <w:rsid w:val="00E4216B"/>
    <w:rsid w:val="00E52086"/>
    <w:rsid w:val="00E543A6"/>
    <w:rsid w:val="00E60479"/>
    <w:rsid w:val="00E61D73"/>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E6492"/>
    <w:rsid w:val="00EF3272"/>
    <w:rsid w:val="00F05ECA"/>
    <w:rsid w:val="00F07877"/>
    <w:rsid w:val="00F2394D"/>
    <w:rsid w:val="00F3566E"/>
    <w:rsid w:val="00F375FB"/>
    <w:rsid w:val="00F41AC1"/>
    <w:rsid w:val="00F4367A"/>
    <w:rsid w:val="00F445B1"/>
    <w:rsid w:val="00F457C9"/>
    <w:rsid w:val="00F45CD4"/>
    <w:rsid w:val="00F66DCA"/>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E325-4E00-4589-960F-4F020E05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30E0784B</Template>
  <TotalTime>2</TotalTime>
  <Pages>4</Pages>
  <Words>1168</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4</cp:revision>
  <cp:lastPrinted>2018-02-02T14:30:00Z</cp:lastPrinted>
  <dcterms:created xsi:type="dcterms:W3CDTF">2018-02-05T14:40:00Z</dcterms:created>
  <dcterms:modified xsi:type="dcterms:W3CDTF">2018-02-19T12:30:00Z</dcterms:modified>
</cp:coreProperties>
</file>